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方正黑体简体"/>
          <w:color w:val="000000"/>
          <w:szCs w:val="32"/>
          <w:shd w:val="clear" w:color="auto" w:fill="FFFFFF"/>
        </w:rPr>
      </w:pPr>
      <w:r>
        <w:rPr>
          <w:rFonts w:eastAsia="方正黑体简体"/>
          <w:color w:val="000000"/>
          <w:szCs w:val="32"/>
          <w:shd w:val="clear" w:color="auto" w:fill="FFFFFF"/>
        </w:rPr>
        <w:t>附件2</w:t>
      </w:r>
    </w:p>
    <w:p>
      <w:pPr>
        <w:pStyle w:val="2"/>
        <w:ind w:left="632" w:firstLine="632"/>
        <w:rPr>
          <w:rFonts w:hint="eastAsia"/>
        </w:rPr>
      </w:pPr>
    </w:p>
    <w:p>
      <w:pPr>
        <w:pStyle w:val="7"/>
        <w:spacing w:line="560" w:lineRule="exact"/>
        <w:jc w:val="center"/>
        <w:rPr>
          <w:rFonts w:ascii="Times New Roman" w:hAnsi="Times New Roman" w:eastAsia="方正小标宋简体" w:cs="Times New Roman"/>
          <w:color w:val="auto"/>
          <w:kern w:val="2"/>
          <w:sz w:val="42"/>
          <w:szCs w:val="42"/>
        </w:rPr>
      </w:pPr>
      <w:r>
        <w:rPr>
          <w:rFonts w:ascii="Times New Roman" w:hAnsi="Times New Roman" w:eastAsia="方正小标宋简体" w:cs="Times New Roman"/>
          <w:sz w:val="42"/>
          <w:szCs w:val="42"/>
        </w:rPr>
        <w:t>第四届秦巴山区绿色农林产业投资贸易洽谈会展示展销策划及搭建服务项目支出绩效评价报告</w:t>
      </w:r>
    </w:p>
    <w:p>
      <w:pPr>
        <w:adjustRightInd w:val="0"/>
        <w:snapToGrid w:val="0"/>
        <w:spacing w:line="560" w:lineRule="exact"/>
        <w:ind w:firstLine="720"/>
        <w:rPr>
          <w:rFonts w:eastAsia="黑体"/>
        </w:rPr>
      </w:pPr>
    </w:p>
    <w:p>
      <w:pPr>
        <w:adjustRightInd w:val="0"/>
        <w:snapToGrid w:val="0"/>
        <w:spacing w:line="560" w:lineRule="exact"/>
        <w:ind w:firstLine="720"/>
        <w:rPr>
          <w:rFonts w:eastAsia="黑体"/>
          <w:lang w:val="zh-CN"/>
        </w:rPr>
      </w:pPr>
      <w:r>
        <w:rPr>
          <w:rFonts w:eastAsia="黑体"/>
        </w:rPr>
        <w:t>一、</w:t>
      </w:r>
      <w:r>
        <w:rPr>
          <w:rFonts w:eastAsia="黑体"/>
          <w:lang w:val="zh-CN"/>
        </w:rPr>
        <w:t>项目概况</w:t>
      </w:r>
    </w:p>
    <w:p>
      <w:pPr>
        <w:adjustRightInd w:val="0"/>
        <w:snapToGrid w:val="0"/>
        <w:spacing w:line="560" w:lineRule="exact"/>
        <w:ind w:firstLine="720"/>
        <w:rPr>
          <w:rFonts w:eastAsia="方正楷体简体"/>
          <w:szCs w:val="32"/>
          <w:lang w:val="zh-CN"/>
        </w:rPr>
      </w:pPr>
      <w:r>
        <w:rPr>
          <w:rFonts w:eastAsia="方正楷体简体"/>
          <w:szCs w:val="32"/>
          <w:lang w:val="zh-CN"/>
        </w:rPr>
        <w:t>（一）项目基本情况</w:t>
      </w:r>
    </w:p>
    <w:p>
      <w:pPr>
        <w:adjustRightInd w:val="0"/>
        <w:snapToGrid w:val="0"/>
        <w:spacing w:line="560" w:lineRule="exact"/>
        <w:ind w:firstLine="720"/>
        <w:rPr>
          <w:rFonts w:eastAsia="方正仿宋简体"/>
          <w:szCs w:val="32"/>
          <w:lang w:val="zh-CN"/>
        </w:rPr>
      </w:pPr>
      <w:r>
        <w:rPr>
          <w:rFonts w:eastAsia="方正楷体简体"/>
          <w:szCs w:val="32"/>
        </w:rPr>
        <w:t>1.</w:t>
      </w:r>
      <w:r>
        <w:rPr>
          <w:rFonts w:eastAsia="方正楷体简体"/>
          <w:szCs w:val="32"/>
          <w:lang w:val="zh-CN"/>
        </w:rPr>
        <w:t>项目主管部门在该项目管理中的职能。</w:t>
      </w:r>
      <w:r>
        <w:rPr>
          <w:rFonts w:eastAsia="方正仿宋简体"/>
          <w:szCs w:val="32"/>
          <w:lang w:val="zh-CN"/>
        </w:rPr>
        <w:t>一是牵头组织。牵头负责第四届秦巴山区农林产业投资贸易洽谈会（以下简称第四届秦巴农洽会）活动协调、策划、统筹等工作。二是具体负责。具体负责第四届秦巴农洽会开幕式筹备和展示展销活动两项子活动。三是项目监管。对项目实施、资金拨付等重点环节加强监督检查，做到规范透明。</w:t>
      </w:r>
    </w:p>
    <w:p>
      <w:pPr>
        <w:adjustRightInd w:val="0"/>
        <w:snapToGrid w:val="0"/>
        <w:spacing w:line="560" w:lineRule="exact"/>
        <w:ind w:firstLine="720"/>
        <w:rPr>
          <w:rFonts w:eastAsia="方正楷体简体"/>
          <w:szCs w:val="32"/>
          <w:lang w:val="zh-CN"/>
        </w:rPr>
      </w:pPr>
      <w:r>
        <w:rPr>
          <w:rFonts w:eastAsia="方正楷体简体"/>
          <w:szCs w:val="32"/>
        </w:rPr>
        <w:t>2.</w:t>
      </w:r>
      <w:r>
        <w:rPr>
          <w:rFonts w:eastAsia="方正楷体简体"/>
          <w:szCs w:val="32"/>
          <w:lang w:val="zh-CN"/>
        </w:rPr>
        <w:t>项目立项、资金申报的依据。</w:t>
      </w:r>
    </w:p>
    <w:p>
      <w:pPr>
        <w:adjustRightInd w:val="0"/>
        <w:snapToGrid w:val="0"/>
        <w:spacing w:line="560" w:lineRule="exact"/>
        <w:ind w:firstLine="720"/>
        <w:rPr>
          <w:rFonts w:eastAsia="方正仿宋简体"/>
          <w:szCs w:val="32"/>
          <w:lang w:val="zh-CN"/>
        </w:rPr>
      </w:pPr>
      <w:r>
        <w:rPr>
          <w:rFonts w:eastAsia="方正仿宋简体"/>
          <w:szCs w:val="32"/>
          <w:lang w:val="zh-CN"/>
        </w:rPr>
        <w:t>立项依据：市委五届五次全会暨市委经济工作会、市政府2023年《政府工作报告》、《第四届秦巴山区绿色农林产业投资贸易洽谈会方案》。</w:t>
      </w:r>
    </w:p>
    <w:p>
      <w:pPr>
        <w:adjustRightInd w:val="0"/>
        <w:snapToGrid w:val="0"/>
        <w:spacing w:line="560" w:lineRule="exact"/>
        <w:ind w:firstLine="720"/>
        <w:rPr>
          <w:rFonts w:eastAsia="方正仿宋简体"/>
          <w:szCs w:val="32"/>
          <w:lang w:val="zh-CN"/>
        </w:rPr>
      </w:pPr>
      <w:r>
        <w:rPr>
          <w:rFonts w:eastAsia="方正仿宋简体"/>
          <w:szCs w:val="32"/>
          <w:lang w:val="zh-CN"/>
        </w:rPr>
        <w:t>资金申报：</w:t>
      </w:r>
      <w:r>
        <w:rPr>
          <w:rFonts w:eastAsia="方正仿宋简体"/>
          <w:szCs w:val="32"/>
        </w:rPr>
        <w:t>《</w:t>
      </w:r>
      <w:r>
        <w:rPr>
          <w:rFonts w:eastAsia="方正仿宋简体"/>
          <w:szCs w:val="32"/>
          <w:lang w:val="zh-CN"/>
        </w:rPr>
        <w:t>关于解决筹办第四届秦巴山区绿色农林产业投资贸易洽谈会经费的请示</w:t>
      </w:r>
      <w:r>
        <w:rPr>
          <w:rFonts w:eastAsia="方正仿宋简体"/>
          <w:szCs w:val="32"/>
        </w:rPr>
        <w:t>》</w:t>
      </w:r>
    </w:p>
    <w:p>
      <w:pPr>
        <w:adjustRightInd w:val="0"/>
        <w:snapToGrid w:val="0"/>
        <w:spacing w:line="560" w:lineRule="exact"/>
        <w:ind w:firstLine="720"/>
        <w:rPr>
          <w:rFonts w:eastAsia="方正仿宋简体"/>
          <w:szCs w:val="32"/>
          <w:lang w:val="zh-CN"/>
        </w:rPr>
      </w:pPr>
      <w:r>
        <w:rPr>
          <w:rFonts w:eastAsia="方正楷体简体"/>
          <w:szCs w:val="32"/>
        </w:rPr>
        <w:t>3.资金管理办法制定情况。</w:t>
      </w:r>
      <w:r>
        <w:rPr>
          <w:rFonts w:eastAsia="方正仿宋简体"/>
          <w:szCs w:val="32"/>
          <w:lang w:val="zh-CN"/>
        </w:rPr>
        <w:t>为加强专项经费的使用管理，规范经费申报程序，提高资金使用绩效，制定了秦巴农洽会专项资金管理办法。预算实行总额控制，由活动总牵头部门编制项目经费总预算方案，按规定程序审定后统筹安排使用。</w:t>
      </w:r>
    </w:p>
    <w:p>
      <w:pPr>
        <w:adjustRightInd w:val="0"/>
        <w:snapToGrid w:val="0"/>
        <w:spacing w:line="560" w:lineRule="exact"/>
        <w:ind w:firstLine="720"/>
        <w:rPr>
          <w:rFonts w:eastAsia="方正仿宋简体"/>
          <w:szCs w:val="32"/>
          <w:lang w:val="zh-CN"/>
        </w:rPr>
      </w:pPr>
      <w:r>
        <w:rPr>
          <w:rFonts w:eastAsia="方正楷体简体"/>
          <w:szCs w:val="32"/>
        </w:rPr>
        <w:t>4.资金分配的原则及考虑因素。</w:t>
      </w:r>
      <w:r>
        <w:rPr>
          <w:rFonts w:eastAsia="方正仿宋简体"/>
          <w:szCs w:val="32"/>
          <w:lang w:val="zh-CN"/>
        </w:rPr>
        <w:t>各子活动方案经费预算必须控制在总预算金额以内，各子方案经费预算经审定后，分别下达各子方案牵头部门。</w:t>
      </w:r>
    </w:p>
    <w:p>
      <w:pPr>
        <w:adjustRightInd w:val="0"/>
        <w:snapToGrid w:val="0"/>
        <w:spacing w:line="560" w:lineRule="exact"/>
        <w:ind w:firstLine="720"/>
        <w:rPr>
          <w:rFonts w:eastAsia="方正楷体简体"/>
          <w:szCs w:val="32"/>
          <w:lang w:val="zh-CN"/>
        </w:rPr>
      </w:pPr>
      <w:r>
        <w:rPr>
          <w:rFonts w:eastAsia="方正楷体简体"/>
          <w:szCs w:val="32"/>
          <w:lang w:val="zh-CN"/>
        </w:rPr>
        <w:t>（二）项目绩效目标</w:t>
      </w:r>
    </w:p>
    <w:p>
      <w:pPr>
        <w:adjustRightInd w:val="0"/>
        <w:snapToGrid w:val="0"/>
        <w:spacing w:line="560" w:lineRule="exact"/>
        <w:ind w:firstLine="720"/>
        <w:rPr>
          <w:rFonts w:eastAsia="方正仿宋简体"/>
          <w:szCs w:val="32"/>
          <w:lang w:val="zh-CN"/>
        </w:rPr>
      </w:pPr>
      <w:r>
        <w:rPr>
          <w:rFonts w:eastAsia="方正楷体简体"/>
          <w:szCs w:val="32"/>
          <w:lang w:val="zh-CN"/>
        </w:rPr>
        <w:t>1</w:t>
      </w:r>
      <w:r>
        <w:rPr>
          <w:rFonts w:eastAsia="方正楷体简体"/>
          <w:szCs w:val="32"/>
        </w:rPr>
        <w:t>.</w:t>
      </w:r>
      <w:r>
        <w:rPr>
          <w:rFonts w:eastAsia="方正楷体简体"/>
          <w:szCs w:val="32"/>
          <w:lang w:val="zh-CN"/>
        </w:rPr>
        <w:t>项目主要内容。</w:t>
      </w:r>
      <w:r>
        <w:rPr>
          <w:rFonts w:eastAsia="方正仿宋简体"/>
          <w:szCs w:val="32"/>
          <w:lang w:val="zh-CN"/>
        </w:rPr>
        <w:t>持续发挥秦巴山区绿色农林产业投资贸易洽谈会对外开放平台作用，促进秦巴区域政治、经济、文化等深度合作，加快融入成渝地区双城经济圈，助力全国革命老区振兴发展示范市建设。</w:t>
      </w:r>
    </w:p>
    <w:p>
      <w:pPr>
        <w:adjustRightInd w:val="0"/>
        <w:snapToGrid w:val="0"/>
        <w:spacing w:line="560" w:lineRule="exact"/>
        <w:ind w:firstLine="640" w:firstLineChars="200"/>
        <w:rPr>
          <w:rFonts w:eastAsia="方正仿宋简体"/>
          <w:szCs w:val="32"/>
          <w:lang w:val="zh-CN"/>
        </w:rPr>
      </w:pPr>
      <w:r>
        <w:rPr>
          <w:rFonts w:eastAsia="方正楷体简体"/>
          <w:szCs w:val="32"/>
        </w:rPr>
        <w:t>2.</w:t>
      </w:r>
      <w:r>
        <w:rPr>
          <w:rFonts w:eastAsia="方正楷体简体"/>
          <w:szCs w:val="32"/>
          <w:lang w:val="zh-CN"/>
        </w:rPr>
        <w:t>项目应实现的具体绩效目标。</w:t>
      </w:r>
      <w:r>
        <w:rPr>
          <w:rFonts w:eastAsia="方正仿宋简体"/>
          <w:szCs w:val="32"/>
          <w:lang w:val="zh-CN"/>
        </w:rPr>
        <w:t>搭建展馆</w:t>
      </w:r>
      <w:r>
        <w:rPr>
          <w:rFonts w:eastAsia="方正仿宋简体"/>
          <w:szCs w:val="32"/>
        </w:rPr>
        <w:t>7个；举办</w:t>
      </w:r>
      <w:r>
        <w:rPr>
          <w:rFonts w:eastAsia="方正仿宋简体"/>
          <w:szCs w:val="32"/>
          <w:lang w:val="zh-CN"/>
        </w:rPr>
        <w:t>第四届秦巴农洽会开幕式、研讨会、投资贸易推介会、平台营销活动、美食品鉴等活动</w:t>
      </w:r>
      <w:r>
        <w:rPr>
          <w:rFonts w:eastAsia="方正仿宋简体"/>
          <w:szCs w:val="32"/>
        </w:rPr>
        <w:t>6个以上；宣传推介企业品牌，销售农林产品，开展贸易洽谈与合作，成功签订销售、投资协议；“巴食巴适”品牌培树推广活动，通过图片、文字、视频广告、发布会等方式集中展示我市“巴食巴适”品牌，提高品牌知名度。</w:t>
      </w:r>
    </w:p>
    <w:p>
      <w:pPr>
        <w:adjustRightInd w:val="0"/>
        <w:snapToGrid w:val="0"/>
        <w:spacing w:line="560" w:lineRule="exact"/>
        <w:ind w:firstLine="720"/>
        <w:rPr>
          <w:rFonts w:eastAsia="方正楷体简体"/>
          <w:szCs w:val="32"/>
          <w:lang w:val="zh-CN"/>
        </w:rPr>
      </w:pPr>
      <w:r>
        <w:rPr>
          <w:rFonts w:eastAsia="方正楷体简体"/>
          <w:szCs w:val="32"/>
        </w:rPr>
        <w:t>3.</w:t>
      </w:r>
      <w:r>
        <w:rPr>
          <w:rFonts w:eastAsia="方正楷体简体"/>
          <w:szCs w:val="32"/>
          <w:lang w:val="zh-CN"/>
        </w:rPr>
        <w:t>申报内容与实际相符，申报目标合理可行。</w:t>
      </w:r>
    </w:p>
    <w:p>
      <w:pPr>
        <w:adjustRightInd w:val="0"/>
        <w:snapToGrid w:val="0"/>
        <w:spacing w:line="560" w:lineRule="exact"/>
        <w:ind w:firstLine="720"/>
        <w:rPr>
          <w:rFonts w:eastAsia="黑体"/>
        </w:rPr>
      </w:pPr>
      <w:r>
        <w:rPr>
          <w:rFonts w:eastAsia="黑体"/>
        </w:rPr>
        <w:t>二、项目资金申报及使用情况</w:t>
      </w:r>
    </w:p>
    <w:p>
      <w:pPr>
        <w:adjustRightInd w:val="0"/>
        <w:snapToGrid w:val="0"/>
        <w:spacing w:line="560" w:lineRule="exact"/>
        <w:ind w:firstLine="720"/>
        <w:rPr>
          <w:rFonts w:eastAsia="方正楷体简体"/>
          <w:szCs w:val="32"/>
          <w:lang w:val="zh-CN"/>
        </w:rPr>
      </w:pPr>
      <w:r>
        <w:rPr>
          <w:rFonts w:eastAsia="方正楷体简体"/>
          <w:szCs w:val="32"/>
          <w:lang w:val="zh-CN"/>
        </w:rPr>
        <w:t>（一）项目资金申报及批复情况</w:t>
      </w:r>
    </w:p>
    <w:p>
      <w:pPr>
        <w:adjustRightInd w:val="0"/>
        <w:snapToGrid w:val="0"/>
        <w:spacing w:line="560" w:lineRule="exact"/>
        <w:ind w:firstLine="720"/>
        <w:rPr>
          <w:rFonts w:eastAsia="方正仿宋简体"/>
          <w:szCs w:val="32"/>
          <w:lang w:val="zh-CN"/>
        </w:rPr>
      </w:pPr>
      <w:r>
        <w:rPr>
          <w:rFonts w:eastAsia="方正仿宋简体"/>
          <w:szCs w:val="32"/>
          <w:lang w:val="zh-CN"/>
        </w:rPr>
        <w:t>我局按照第四届秦巴农洽会活动方案，结合各子活动牵头单位资金测算制定</w:t>
      </w:r>
      <w:r>
        <w:rPr>
          <w:rFonts w:eastAsia="方正仿宋简体"/>
          <w:szCs w:val="32"/>
        </w:rPr>
        <w:t>第四届秦巴山区绿色农林产业投资贸易洽谈会经费预算表，并向市政府</w:t>
      </w:r>
      <w:r>
        <w:rPr>
          <w:rFonts w:eastAsia="方正仿宋简体"/>
          <w:szCs w:val="32"/>
          <w:lang w:val="zh-CN"/>
        </w:rPr>
        <w:t>申请解决活动经费。</w:t>
      </w:r>
      <w:r>
        <w:rPr>
          <w:rFonts w:eastAsia="方正仿宋简体"/>
          <w:szCs w:val="32"/>
        </w:rPr>
        <w:t>资金支出经市财政按程序审核后分别下达各子活动牵头单位。</w:t>
      </w:r>
    </w:p>
    <w:p>
      <w:pPr>
        <w:adjustRightInd w:val="0"/>
        <w:snapToGrid w:val="0"/>
        <w:spacing w:line="560" w:lineRule="exact"/>
        <w:ind w:firstLine="720"/>
        <w:rPr>
          <w:rFonts w:eastAsia="方正楷体简体"/>
          <w:szCs w:val="32"/>
          <w:lang w:val="zh-CN"/>
        </w:rPr>
      </w:pPr>
      <w:r>
        <w:rPr>
          <w:rFonts w:eastAsia="方正楷体简体"/>
          <w:szCs w:val="32"/>
          <w:lang w:val="zh-CN"/>
        </w:rPr>
        <w:t>（二）资金计划、到位及使用情况</w:t>
      </w:r>
    </w:p>
    <w:p>
      <w:pPr>
        <w:adjustRightInd w:val="0"/>
        <w:snapToGrid w:val="0"/>
        <w:spacing w:line="560" w:lineRule="exact"/>
        <w:ind w:firstLine="720"/>
        <w:rPr>
          <w:rFonts w:eastAsia="方正仿宋简体"/>
          <w:szCs w:val="32"/>
        </w:rPr>
      </w:pPr>
      <w:r>
        <w:rPr>
          <w:rFonts w:eastAsia="方正楷体简体"/>
          <w:szCs w:val="32"/>
        </w:rPr>
        <w:t>1.</w:t>
      </w:r>
      <w:r>
        <w:rPr>
          <w:rFonts w:eastAsia="方正楷体简体"/>
          <w:szCs w:val="32"/>
          <w:lang w:val="zh-CN"/>
        </w:rPr>
        <w:t>资金计划。</w:t>
      </w:r>
      <w:r>
        <w:rPr>
          <w:rFonts w:eastAsia="方正仿宋简体"/>
          <w:szCs w:val="32"/>
          <w:lang w:val="zh-CN"/>
        </w:rPr>
        <w:t>计划</w:t>
      </w:r>
      <w:r>
        <w:rPr>
          <w:rFonts w:eastAsia="方正仿宋简体"/>
          <w:szCs w:val="32"/>
        </w:rPr>
        <w:t>下达市级财政资金618.85万元。</w:t>
      </w:r>
    </w:p>
    <w:p>
      <w:pPr>
        <w:adjustRightInd w:val="0"/>
        <w:snapToGrid w:val="0"/>
        <w:spacing w:line="560" w:lineRule="exact"/>
        <w:ind w:firstLine="720"/>
        <w:rPr>
          <w:rFonts w:eastAsia="方正仿宋简体"/>
          <w:szCs w:val="32"/>
          <w:lang w:val="zh-CN"/>
        </w:rPr>
      </w:pPr>
      <w:r>
        <w:rPr>
          <w:rFonts w:eastAsia="方正楷体简体"/>
          <w:szCs w:val="32"/>
          <w:lang w:val="zh-CN"/>
        </w:rPr>
        <w:t>2</w:t>
      </w:r>
      <w:r>
        <w:rPr>
          <w:rFonts w:eastAsia="方正楷体简体"/>
          <w:szCs w:val="32"/>
        </w:rPr>
        <w:t>.</w:t>
      </w:r>
      <w:r>
        <w:rPr>
          <w:rFonts w:eastAsia="方正楷体简体"/>
          <w:szCs w:val="32"/>
          <w:lang w:val="zh-CN"/>
        </w:rPr>
        <w:t>资金到位。</w:t>
      </w:r>
      <w:r>
        <w:rPr>
          <w:rFonts w:eastAsia="方正仿宋简体"/>
          <w:szCs w:val="32"/>
          <w:lang w:val="zh-CN"/>
        </w:rPr>
        <w:t>到位资金</w:t>
      </w:r>
      <w:r>
        <w:rPr>
          <w:rFonts w:eastAsia="方正仿宋简体"/>
          <w:szCs w:val="32"/>
        </w:rPr>
        <w:t>618.85万元，</w:t>
      </w:r>
      <w:r>
        <w:rPr>
          <w:rFonts w:eastAsia="方正仿宋简体"/>
          <w:szCs w:val="32"/>
          <w:lang w:val="zh-CN"/>
        </w:rPr>
        <w:t>到位率</w:t>
      </w:r>
      <w:r>
        <w:rPr>
          <w:rFonts w:eastAsia="方正仿宋简体"/>
          <w:szCs w:val="32"/>
        </w:rPr>
        <w:t>100%</w:t>
      </w:r>
      <w:r>
        <w:rPr>
          <w:rFonts w:eastAsia="方正仿宋简体"/>
          <w:szCs w:val="32"/>
          <w:lang w:val="zh-CN"/>
        </w:rPr>
        <w:t>。</w:t>
      </w:r>
    </w:p>
    <w:p>
      <w:pPr>
        <w:adjustRightInd w:val="0"/>
        <w:snapToGrid w:val="0"/>
        <w:spacing w:line="560" w:lineRule="exact"/>
        <w:ind w:firstLine="720"/>
        <w:rPr>
          <w:rFonts w:eastAsia="方正仿宋简体"/>
          <w:szCs w:val="32"/>
          <w:lang w:val="zh-CN"/>
        </w:rPr>
      </w:pPr>
      <w:r>
        <w:rPr>
          <w:rFonts w:eastAsia="方正楷体简体"/>
          <w:szCs w:val="32"/>
          <w:lang w:val="zh-CN"/>
        </w:rPr>
        <w:t>3</w:t>
      </w:r>
      <w:r>
        <w:rPr>
          <w:rFonts w:eastAsia="方正楷体简体"/>
          <w:szCs w:val="32"/>
        </w:rPr>
        <w:t>.</w:t>
      </w:r>
      <w:r>
        <w:rPr>
          <w:rFonts w:eastAsia="方正楷体简体"/>
          <w:szCs w:val="32"/>
          <w:lang w:val="zh-CN"/>
        </w:rPr>
        <w:t>资金使用。</w:t>
      </w:r>
      <w:r>
        <w:rPr>
          <w:rFonts w:eastAsia="方正仿宋简体"/>
          <w:szCs w:val="32"/>
          <w:lang w:val="zh-CN"/>
        </w:rPr>
        <w:t>实际支出</w:t>
      </w:r>
      <w:r>
        <w:rPr>
          <w:rFonts w:eastAsia="方正仿宋简体"/>
          <w:szCs w:val="32"/>
        </w:rPr>
        <w:t>618.85万元</w:t>
      </w:r>
      <w:r>
        <w:rPr>
          <w:rFonts w:eastAsia="方正仿宋简体"/>
          <w:szCs w:val="32"/>
          <w:lang w:val="zh-CN"/>
        </w:rPr>
        <w:t>，资金支付合规合法，与预算相符。</w:t>
      </w:r>
    </w:p>
    <w:p>
      <w:pPr>
        <w:adjustRightInd w:val="0"/>
        <w:snapToGrid w:val="0"/>
        <w:spacing w:line="560" w:lineRule="exact"/>
        <w:ind w:firstLine="720"/>
        <w:rPr>
          <w:rFonts w:eastAsia="方正楷体简体"/>
          <w:szCs w:val="32"/>
          <w:lang w:val="zh-CN"/>
        </w:rPr>
      </w:pPr>
      <w:r>
        <w:rPr>
          <w:rFonts w:eastAsia="方正楷体简体"/>
          <w:szCs w:val="32"/>
          <w:lang w:val="zh-CN"/>
        </w:rPr>
        <w:t>（三）项目财务管理情况</w:t>
      </w:r>
    </w:p>
    <w:p>
      <w:pPr>
        <w:pStyle w:val="8"/>
        <w:widowControl w:val="0"/>
        <w:spacing w:line="560" w:lineRule="exact"/>
        <w:ind w:firstLine="640" w:firstLineChars="200"/>
        <w:rPr>
          <w:rFonts w:eastAsia="方正仿宋简体"/>
          <w:kern w:val="2"/>
          <w:szCs w:val="32"/>
          <w:lang w:val="zh-CN"/>
        </w:rPr>
      </w:pPr>
      <w:r>
        <w:rPr>
          <w:rFonts w:eastAsia="方正仿宋简体"/>
          <w:kern w:val="2"/>
          <w:szCs w:val="32"/>
          <w:lang w:val="zh-CN"/>
        </w:rPr>
        <w:t>严格按照农洽会项目专项资金管理办法的有关要求和规定，专款专用，严禁截留、挤占、挪用、整合，甚至套取国家专项资金的违法违规行为。项目资金为市级财政资金，比照方案内容进行逐项验收，凭验收意见和合法票据按程序报账。</w:t>
      </w:r>
    </w:p>
    <w:p>
      <w:pPr>
        <w:adjustRightInd w:val="0"/>
        <w:snapToGrid w:val="0"/>
        <w:spacing w:line="560" w:lineRule="exact"/>
        <w:ind w:firstLine="720"/>
        <w:rPr>
          <w:rFonts w:eastAsia="黑体"/>
        </w:rPr>
      </w:pPr>
      <w:r>
        <w:rPr>
          <w:rFonts w:eastAsia="黑体"/>
        </w:rPr>
        <w:t>三、项目实施及管理情况</w:t>
      </w:r>
    </w:p>
    <w:p>
      <w:pPr>
        <w:adjustRightInd w:val="0"/>
        <w:snapToGrid w:val="0"/>
        <w:spacing w:line="560" w:lineRule="exact"/>
        <w:ind w:firstLine="720"/>
        <w:rPr>
          <w:rFonts w:eastAsia="方正仿宋简体"/>
          <w:szCs w:val="32"/>
          <w:lang w:val="zh-CN"/>
        </w:rPr>
      </w:pPr>
      <w:r>
        <w:rPr>
          <w:rFonts w:eastAsia="方正楷体简体"/>
          <w:szCs w:val="32"/>
          <w:lang w:val="zh-CN"/>
        </w:rPr>
        <w:t>（一）项目组织架构及实施流程。</w:t>
      </w:r>
      <w:r>
        <w:rPr>
          <w:rFonts w:eastAsia="方正仿宋简体"/>
          <w:szCs w:val="32"/>
          <w:lang w:val="zh-CN"/>
        </w:rPr>
        <w:t>成立第四届秦巴农洽会筹备工作协调小组，负责活动的组织领导和统筹协调。筹备工作协调小组下设综合协调、开幕式筹备及展示展销、会务接待、投资推介、美食品鉴、宣传推广、安保维稳、交通保障、疫情防控及医疗保障等9个工作组。制定第四届秦巴山区绿色农林产业投资贸易洽谈会日程安排，各组按照日程和主要职责组织筹备。</w:t>
      </w:r>
    </w:p>
    <w:p>
      <w:pPr>
        <w:adjustRightInd w:val="0"/>
        <w:snapToGrid w:val="0"/>
        <w:spacing w:line="560" w:lineRule="exact"/>
        <w:ind w:firstLine="640" w:firstLineChars="200"/>
        <w:rPr>
          <w:rFonts w:eastAsia="方正仿宋简体"/>
          <w:szCs w:val="32"/>
          <w:lang w:val="zh-CN"/>
        </w:rPr>
      </w:pPr>
      <w:r>
        <w:rPr>
          <w:rFonts w:eastAsia="方正楷体简体"/>
          <w:szCs w:val="32"/>
          <w:lang w:val="zh-CN"/>
        </w:rPr>
        <w:t>（二）项目管理情况。</w:t>
      </w:r>
      <w:r>
        <w:rPr>
          <w:rFonts w:eastAsia="方正仿宋简体"/>
          <w:szCs w:val="32"/>
          <w:lang w:val="zh-CN"/>
        </w:rPr>
        <w:t>严格按照政府采购相关规定对第四届秦巴农洽会开幕式及媒体宣传服务、秦巴山区绿色农林产业展示展销会展馆搭建等进行公开采购。我局印发《第四届秦巴农洽会筹备工作方案》，将工作细化到个人，严格按时间节点和进度要求，保质保量完成各项工作。</w:t>
      </w:r>
    </w:p>
    <w:p>
      <w:pPr>
        <w:adjustRightInd w:val="0"/>
        <w:snapToGrid w:val="0"/>
        <w:spacing w:line="560" w:lineRule="exact"/>
        <w:ind w:firstLine="640" w:firstLineChars="200"/>
        <w:rPr>
          <w:rFonts w:eastAsia="方正仿宋简体"/>
          <w:szCs w:val="32"/>
        </w:rPr>
      </w:pPr>
      <w:r>
        <w:rPr>
          <w:rFonts w:eastAsia="方正楷体简体"/>
          <w:szCs w:val="32"/>
          <w:lang w:val="zh-CN"/>
        </w:rPr>
        <w:t>（三）项目监管情况。</w:t>
      </w:r>
      <w:r>
        <w:rPr>
          <w:rFonts w:eastAsia="方正仿宋简体"/>
          <w:szCs w:val="32"/>
          <w:lang w:val="zh-CN"/>
        </w:rPr>
        <w:t>综合协调工作组负责相关筹备工作督促检查，第四届秦巴农洽会开幕式及媒体宣传服务、秦巴山区绿色农林产业展示展销会展馆搭建采购活动由我局机关纪委派员全程监督。活动结束后，各子活动牵头单位将经费开支原始单据报市农业农村局，市农业农村局会同市财政局对经费开支情况进行审核，经审核后市财政局将指标下达各牵头单位。</w:t>
      </w:r>
    </w:p>
    <w:p>
      <w:pPr>
        <w:adjustRightInd w:val="0"/>
        <w:snapToGrid w:val="0"/>
        <w:spacing w:line="560" w:lineRule="exact"/>
        <w:ind w:firstLine="720"/>
        <w:rPr>
          <w:rFonts w:eastAsia="方正黑体简体"/>
          <w:szCs w:val="32"/>
          <w:lang w:val="zh-CN"/>
        </w:rPr>
      </w:pPr>
      <w:r>
        <w:rPr>
          <w:rFonts w:eastAsia="方正黑体简体"/>
          <w:szCs w:val="32"/>
        </w:rPr>
        <w:t>四、目标及绩效完成情况</w:t>
      </w:r>
      <w:r>
        <w:rPr>
          <w:rFonts w:eastAsia="方正黑体简体"/>
          <w:szCs w:val="32"/>
          <w:lang w:val="zh-CN"/>
        </w:rPr>
        <w:tab/>
      </w:r>
    </w:p>
    <w:p>
      <w:pPr>
        <w:adjustRightInd w:val="0"/>
        <w:snapToGrid w:val="0"/>
        <w:spacing w:line="560" w:lineRule="exact"/>
        <w:ind w:firstLine="720"/>
        <w:rPr>
          <w:rFonts w:eastAsia="方正楷体简体"/>
          <w:szCs w:val="32"/>
          <w:lang w:val="zh-CN"/>
        </w:rPr>
      </w:pPr>
      <w:r>
        <w:rPr>
          <w:rFonts w:eastAsia="方正楷体简体"/>
          <w:szCs w:val="32"/>
          <w:lang w:val="zh-CN"/>
        </w:rPr>
        <w:t>（一）目标任务完成情况</w:t>
      </w:r>
    </w:p>
    <w:p>
      <w:pPr>
        <w:spacing w:line="560" w:lineRule="exact"/>
        <w:ind w:firstLine="640" w:firstLineChars="200"/>
        <w:rPr>
          <w:rFonts w:eastAsia="方正仿宋简体"/>
          <w:szCs w:val="32"/>
          <w:lang w:val="zh-CN"/>
        </w:rPr>
      </w:pPr>
      <w:r>
        <w:rPr>
          <w:rFonts w:eastAsia="方正楷体简体"/>
          <w:szCs w:val="32"/>
          <w:lang w:val="zh-CN"/>
        </w:rPr>
        <w:t>1.目标任务量完成情况。</w:t>
      </w:r>
      <w:r>
        <w:rPr>
          <w:rFonts w:eastAsia="方正仿宋简体"/>
          <w:szCs w:val="32"/>
        </w:rPr>
        <w:t>创新“1+1+7+1+3+N”的展馆搭建模式，巴中市设形象展示馆1个、巴山肉牛品鉴馆1个；5个县（区）及巴中经开区、文旅新区分别设计搭建展示展销馆1个，邀请金华市搭建主宾特装馆，自贡市、内江市、北碚区等3个友好城市分别搭建特装展馆，并搭建标准展位133个供各成员方参展企业免费使用。</w:t>
      </w:r>
      <w:r>
        <w:rPr>
          <w:rFonts w:eastAsia="方正仿宋简体"/>
          <w:szCs w:val="32"/>
          <w:lang w:val="zh-CN"/>
        </w:rPr>
        <w:t>第四届秦巴农洽会沿用“绿色秦巴、开放共赢”主题，邀请国家有关部委、省级有关部门领导、国内知名专家学者、29个成员方党政代表团、350余家参展企业、200多家国内外知名投资商、采购商和电商等共130万余人次，参加“巴食巴适”美食品鉴、开幕式、农林产品展示展销、投资贸易推介会、肉制品推介会暨巴山肉牛产业发展研讨会、2023年金秋京东消费季、恩阳古镇夜游季、秦巴山区美食周、</w:t>
      </w:r>
      <w:r>
        <w:rPr>
          <w:rFonts w:eastAsia="方正仿宋简体"/>
          <w:szCs w:val="32"/>
        </w:rPr>
        <w:t>农民丰收节等9项系列</w:t>
      </w:r>
      <w:r>
        <w:rPr>
          <w:rFonts w:eastAsia="方正仿宋简体"/>
          <w:szCs w:val="32"/>
          <w:lang w:val="zh-CN"/>
        </w:rPr>
        <w:t>活动。</w:t>
      </w:r>
    </w:p>
    <w:p>
      <w:pPr>
        <w:spacing w:line="560" w:lineRule="exact"/>
        <w:ind w:firstLine="640" w:firstLineChars="200"/>
        <w:rPr>
          <w:rFonts w:eastAsia="方正仿宋简体"/>
          <w:szCs w:val="32"/>
          <w:lang w:val="zh-CN"/>
        </w:rPr>
      </w:pPr>
      <w:r>
        <w:rPr>
          <w:rFonts w:eastAsia="方正楷体简体"/>
          <w:szCs w:val="32"/>
          <w:lang w:val="zh-CN"/>
        </w:rPr>
        <w:t>2.目标质量完成情况。</w:t>
      </w:r>
      <w:r>
        <w:rPr>
          <w:rFonts w:eastAsia="方正仿宋简体"/>
          <w:szCs w:val="32"/>
          <w:lang w:val="zh-CN"/>
        </w:rPr>
        <w:t>采取“现场体验、现场洽谈、现场签约”模式，成功签约项目29个，总投资金额27.65亿元。巴中市肉制品推介会暨巴山肉牛产业发展研讨会，四川正大畜牧有限公司、四川亿道生物科技集团有限公司等省内外</w:t>
      </w:r>
      <w:r>
        <w:rPr>
          <w:rFonts w:eastAsia="方正仿宋简体"/>
          <w:szCs w:val="32"/>
        </w:rPr>
        <w:t>43</w:t>
      </w:r>
      <w:r>
        <w:rPr>
          <w:rFonts w:eastAsia="方正仿宋简体"/>
          <w:szCs w:val="32"/>
          <w:lang w:val="zh-CN"/>
        </w:rPr>
        <w:t>家企业代表参加会议，共推出肉制品产业招商项目</w:t>
      </w:r>
      <w:r>
        <w:rPr>
          <w:rFonts w:eastAsia="方正仿宋简体"/>
          <w:szCs w:val="32"/>
        </w:rPr>
        <w:t>113</w:t>
      </w:r>
      <w:r>
        <w:rPr>
          <w:rFonts w:eastAsia="方正仿宋简体"/>
          <w:szCs w:val="32"/>
          <w:lang w:val="zh-CN"/>
        </w:rPr>
        <w:t>个、总投资额</w:t>
      </w:r>
      <w:r>
        <w:rPr>
          <w:rFonts w:eastAsia="方正仿宋简体"/>
          <w:szCs w:val="32"/>
        </w:rPr>
        <w:t>132.59</w:t>
      </w:r>
      <w:r>
        <w:rPr>
          <w:rFonts w:eastAsia="方正仿宋简体"/>
          <w:szCs w:val="32"/>
          <w:lang w:val="zh-CN"/>
        </w:rPr>
        <w:t>亿元，成功签约项目</w:t>
      </w:r>
      <w:r>
        <w:rPr>
          <w:rFonts w:eastAsia="方正仿宋简体"/>
          <w:szCs w:val="32"/>
        </w:rPr>
        <w:t>13</w:t>
      </w:r>
      <w:r>
        <w:rPr>
          <w:rFonts w:eastAsia="方正仿宋简体"/>
          <w:szCs w:val="32"/>
          <w:lang w:val="zh-CN"/>
        </w:rPr>
        <w:t>个、总投资额</w:t>
      </w:r>
      <w:r>
        <w:rPr>
          <w:rFonts w:eastAsia="方正仿宋简体"/>
          <w:szCs w:val="32"/>
        </w:rPr>
        <w:t>21.12</w:t>
      </w:r>
      <w:r>
        <w:rPr>
          <w:rFonts w:eastAsia="方正仿宋简体"/>
          <w:szCs w:val="32"/>
          <w:lang w:val="zh-CN"/>
        </w:rPr>
        <w:t>亿元。历史学者、《百家讲坛》前主讲人、中国民生研究院特约研究员纪连海讲述了巴中精神和5000年巴人文化并重点推介了“巴食巴适”“巴中云顶”综合性区域公用品牌，成都广播电视台《匕阳秀》节目主持人卢匕、李阳现场推介江口青鳙、巴州枳壳、恩阳芦笋等巴中特色优质农产品，</w:t>
      </w:r>
      <w:r>
        <w:rPr>
          <w:rFonts w:eastAsia="方正仿宋简体"/>
          <w:szCs w:val="32"/>
        </w:rPr>
        <w:t>《消费质量报》总编辑郑先聪现场</w:t>
      </w:r>
      <w:r>
        <w:rPr>
          <w:rFonts w:eastAsia="方正仿宋简体"/>
          <w:szCs w:val="32"/>
          <w:lang w:val="zh-CN"/>
        </w:rPr>
        <w:t>发布2023“巴食巴适”品牌榜单评选受理名单。</w:t>
      </w:r>
    </w:p>
    <w:p>
      <w:pPr>
        <w:pStyle w:val="8"/>
        <w:widowControl w:val="0"/>
        <w:spacing w:line="560" w:lineRule="exact"/>
        <w:ind w:firstLine="640" w:firstLineChars="200"/>
        <w:rPr>
          <w:rFonts w:eastAsia="方正仿宋简体"/>
          <w:kern w:val="2"/>
          <w:szCs w:val="32"/>
          <w:lang w:val="zh-CN"/>
        </w:rPr>
      </w:pPr>
      <w:r>
        <w:rPr>
          <w:rFonts w:eastAsia="方正楷体简体"/>
          <w:kern w:val="2"/>
          <w:szCs w:val="32"/>
          <w:lang w:val="zh-CN"/>
        </w:rPr>
        <w:t>3.目标进度完成情况。</w:t>
      </w:r>
      <w:r>
        <w:rPr>
          <w:rFonts w:eastAsia="方正仿宋简体"/>
          <w:kern w:val="2"/>
          <w:szCs w:val="32"/>
          <w:lang w:val="zh-CN"/>
        </w:rPr>
        <w:t>已按实施方案完成工作。</w:t>
      </w:r>
    </w:p>
    <w:p>
      <w:pPr>
        <w:spacing w:line="560" w:lineRule="exact"/>
        <w:ind w:firstLine="640" w:firstLineChars="200"/>
        <w:rPr>
          <w:rFonts w:eastAsia="方正楷体简体"/>
          <w:szCs w:val="32"/>
          <w:lang w:val="zh-CN"/>
        </w:rPr>
      </w:pPr>
      <w:r>
        <w:rPr>
          <w:rFonts w:eastAsia="方正楷体简体"/>
          <w:szCs w:val="32"/>
          <w:lang w:val="zh-CN"/>
        </w:rPr>
        <w:t>（二）项目效益情况</w:t>
      </w:r>
    </w:p>
    <w:p>
      <w:pPr>
        <w:spacing w:line="560" w:lineRule="exact"/>
        <w:ind w:firstLine="640" w:firstLineChars="200"/>
        <w:rPr>
          <w:rFonts w:eastAsia="方正仿宋简体"/>
          <w:szCs w:val="32"/>
          <w:lang w:val="zh-CN"/>
        </w:rPr>
      </w:pPr>
      <w:r>
        <w:rPr>
          <w:rFonts w:eastAsia="方正楷体简体"/>
          <w:szCs w:val="32"/>
        </w:rPr>
        <w:t>1.</w:t>
      </w:r>
      <w:r>
        <w:rPr>
          <w:rFonts w:eastAsia="方正楷体简体"/>
          <w:szCs w:val="32"/>
          <w:lang w:val="zh-CN"/>
        </w:rPr>
        <w:t>经济效益。</w:t>
      </w:r>
      <w:r>
        <w:rPr>
          <w:rFonts w:eastAsia="方正仿宋简体"/>
          <w:szCs w:val="32"/>
          <w:lang w:val="zh-CN"/>
        </w:rPr>
        <w:t>秦巴山区美食周活动在恩阳区主会场和南江县、平昌县分会场举办，恩阳区主会场40家企业集中展销50余种巴中特色美食，通过“线上直播+线下试吃”销售模式实现销售额36.5万元；以“驷马鲜牛肉·好吃牛牛牛”为主题的平昌分会场活动在牛肉美食主题街举办，近20余家牛肉主题餐饮企业和数十家特色小吃实现现场销售17.1万元，同步举办促消费系列活动，拉动消费18.97万元；</w:t>
      </w:r>
      <w:r>
        <w:rPr>
          <w:rFonts w:eastAsia="方正仿宋简体"/>
          <w:szCs w:val="32"/>
        </w:rPr>
        <w:t>南江县分会场暨第八届正直镇酥肉节展示展销会在正直镇长滩村举办，20家餐饮企业展示展销休闲特色美食30余种，销售额达72.3万元。</w:t>
      </w:r>
    </w:p>
    <w:p>
      <w:pPr>
        <w:spacing w:line="560" w:lineRule="exact"/>
        <w:ind w:firstLine="640" w:firstLineChars="200"/>
        <w:rPr>
          <w:rFonts w:eastAsia="方正仿宋简体"/>
          <w:szCs w:val="32"/>
          <w:lang w:val="zh-CN"/>
        </w:rPr>
      </w:pPr>
      <w:r>
        <w:rPr>
          <w:rFonts w:eastAsia="方正楷体简体"/>
          <w:szCs w:val="32"/>
        </w:rPr>
        <w:t>2.</w:t>
      </w:r>
      <w:r>
        <w:rPr>
          <w:rFonts w:eastAsia="方正楷体简体"/>
          <w:szCs w:val="32"/>
          <w:lang w:val="zh-CN"/>
        </w:rPr>
        <w:t>社会效益。</w:t>
      </w:r>
      <w:r>
        <w:rPr>
          <w:rFonts w:eastAsia="方正仿宋简体"/>
          <w:szCs w:val="32"/>
        </w:rPr>
        <w:t>9月起，四川广播电视台乡村频道、四川广播电视台文化旅游频</w:t>
      </w:r>
      <w:r>
        <w:rPr>
          <w:rFonts w:eastAsia="方正仿宋简体"/>
          <w:szCs w:val="32"/>
          <w:lang w:val="zh-CN"/>
        </w:rPr>
        <w:t>道、四川广播电视台新闻频道黄金时段播放宣传广告30余次为秦巴农洽会预热；腾讯网、新浪微博号、无线巴中抖音号等10余家新媒体集中推介巴山肉牛、南江黄羊等巴中优质农产品和“巴食巴适”“巴中云顶”等区域公用品牌。活动期间，</w:t>
      </w:r>
      <w:r>
        <w:rPr>
          <w:rFonts w:eastAsia="方正仿宋简体"/>
          <w:szCs w:val="32"/>
        </w:rPr>
        <w:t>中国网、四川观察、川观新闻等多家主流媒体对开幕式进行了全程直播；</w:t>
      </w:r>
      <w:r>
        <w:rPr>
          <w:rFonts w:eastAsia="方正仿宋简体"/>
          <w:szCs w:val="32"/>
          <w:lang w:val="zh-CN"/>
        </w:rPr>
        <w:t>中央电视台农业农村频道、四川电视台和人民日报、中国新闻网、新华网等30余家中省媒体和农业、林业、商务等行业媒体集中报道了会议盛况，浏览量超93万，微信微博转发5万余条，点击率超200万，第四届秦巴农洽会成为阶段性媒体普遍关注、集中播报的热门话题。</w:t>
      </w:r>
    </w:p>
    <w:p>
      <w:pPr>
        <w:spacing w:line="560" w:lineRule="exact"/>
        <w:ind w:firstLine="640" w:firstLineChars="200"/>
        <w:rPr>
          <w:rFonts w:eastAsia="方正仿宋简体"/>
          <w:szCs w:val="32"/>
          <w:lang w:val="zh-CN"/>
        </w:rPr>
      </w:pPr>
      <w:r>
        <w:rPr>
          <w:rFonts w:eastAsia="方正楷体简体"/>
          <w:szCs w:val="32"/>
        </w:rPr>
        <w:t>3.</w:t>
      </w:r>
      <w:r>
        <w:rPr>
          <w:rFonts w:eastAsia="方正楷体简体"/>
          <w:szCs w:val="32"/>
          <w:lang w:val="zh-CN"/>
        </w:rPr>
        <w:t>可持续效益。</w:t>
      </w:r>
      <w:r>
        <w:rPr>
          <w:rFonts w:eastAsia="方正仿宋简体"/>
          <w:szCs w:val="32"/>
        </w:rPr>
        <w:t>本届秦巴农洽会首设主宾市，由东西部协作对口帮扶城市浙江省金华市担任，搭建主宾特装馆，金华市政协副主席、民进金华主委张少华在开幕式上作“两头乌”品牌推介、在投资推介会上作产业投资推介。邀请陕西省西安市、达州市等秦巴山区市县（区），自贡市、内江市、宜宾市等省内乡村振兴重点帮扶城市，重庆市北碚区、湖北省随州市等巴中友好城市，贵州省遵义市等革命老区城市共计12省（市）29个成员方1000余人550余家企业参会参展，成员方城市不断增加，阵容不断扩大。</w:t>
      </w:r>
    </w:p>
    <w:p>
      <w:pPr>
        <w:adjustRightInd w:val="0"/>
        <w:snapToGrid w:val="0"/>
        <w:spacing w:line="560" w:lineRule="exact"/>
        <w:ind w:firstLine="720"/>
        <w:rPr>
          <w:rFonts w:eastAsia="楷体_GB2312"/>
          <w:b/>
          <w:lang w:val="zh-CN"/>
        </w:rPr>
      </w:pPr>
      <w:r>
        <w:rPr>
          <w:rFonts w:eastAsia="黑体"/>
        </w:rPr>
        <w:t>五、评价结论</w:t>
      </w:r>
    </w:p>
    <w:p>
      <w:pPr>
        <w:adjustRightInd w:val="0"/>
        <w:snapToGrid w:val="0"/>
        <w:spacing w:line="560" w:lineRule="exact"/>
        <w:ind w:firstLine="720"/>
        <w:rPr>
          <w:rFonts w:eastAsia="方正仿宋简体"/>
          <w:szCs w:val="32"/>
        </w:rPr>
      </w:pPr>
      <w:r>
        <w:rPr>
          <w:rFonts w:eastAsia="方正仿宋简体"/>
          <w:szCs w:val="32"/>
        </w:rPr>
        <w:t>第四届秦巴农洽会充分发挥对外开放合作平台作用和秦巴山区生态环境优良、农林资源富集、产品特色鲜明的资源优势，加快培育绿色发展新动能，着力构建现代产业发展新格局，推动建设成渝地区绿色产品供给地和产业协作配套基地。活动组织保障有力，较好地完成了建设任务，实施成效显著，资金使用管理合规。</w:t>
      </w:r>
    </w:p>
    <w:p>
      <w:pPr>
        <w:adjustRightInd w:val="0"/>
        <w:snapToGrid w:val="0"/>
        <w:spacing w:line="560" w:lineRule="exact"/>
        <w:ind w:firstLine="720"/>
        <w:rPr>
          <w:rFonts w:eastAsia="黑体"/>
        </w:rPr>
      </w:pPr>
      <w:r>
        <w:rPr>
          <w:rFonts w:eastAsia="黑体"/>
        </w:rPr>
        <w:t>六、存在的问题及建议</w:t>
      </w:r>
    </w:p>
    <w:p>
      <w:pPr>
        <w:adjustRightInd w:val="0"/>
        <w:snapToGrid w:val="0"/>
        <w:spacing w:line="560" w:lineRule="exact"/>
        <w:ind w:firstLine="720"/>
        <w:rPr>
          <w:rFonts w:eastAsia="方正楷体简体"/>
          <w:szCs w:val="32"/>
          <w:lang w:val="zh-CN"/>
        </w:rPr>
      </w:pPr>
      <w:r>
        <w:rPr>
          <w:rFonts w:eastAsia="方正楷体简体"/>
          <w:szCs w:val="32"/>
          <w:lang w:val="zh-CN"/>
        </w:rPr>
        <w:t>（一）存在的问题</w:t>
      </w:r>
    </w:p>
    <w:p>
      <w:pPr>
        <w:adjustRightInd w:val="0"/>
        <w:snapToGrid w:val="0"/>
        <w:spacing w:line="560" w:lineRule="exact"/>
        <w:ind w:firstLine="720"/>
        <w:rPr>
          <w:rFonts w:eastAsia="方正仿宋简体"/>
          <w:szCs w:val="32"/>
          <w:lang w:val="zh-CN"/>
        </w:rPr>
      </w:pPr>
      <w:r>
        <w:rPr>
          <w:rFonts w:eastAsia="方正仿宋简体"/>
          <w:szCs w:val="32"/>
          <w:lang w:val="zh-CN"/>
        </w:rPr>
        <w:t>预算编制不准确，虽整个活动未超总预算，但存在部分子活动超预算的情况。</w:t>
      </w:r>
      <w:r>
        <w:rPr>
          <w:rFonts w:eastAsia="方正仿宋简体"/>
          <w:szCs w:val="32"/>
          <w:lang w:val="zh-CN"/>
        </w:rPr>
        <w:tab/>
      </w:r>
    </w:p>
    <w:p>
      <w:pPr>
        <w:adjustRightInd w:val="0"/>
        <w:snapToGrid w:val="0"/>
        <w:spacing w:line="560" w:lineRule="exact"/>
        <w:ind w:firstLine="720"/>
        <w:rPr>
          <w:rFonts w:eastAsia="方正楷体简体"/>
          <w:szCs w:val="32"/>
          <w:lang w:val="zh-CN"/>
        </w:rPr>
      </w:pPr>
      <w:r>
        <w:rPr>
          <w:rFonts w:eastAsia="方正楷体简体"/>
          <w:szCs w:val="32"/>
          <w:lang w:val="zh-CN"/>
        </w:rPr>
        <w:t>（二）相关建议</w:t>
      </w:r>
    </w:p>
    <w:p>
      <w:pPr>
        <w:adjustRightInd w:val="0"/>
        <w:snapToGrid w:val="0"/>
        <w:spacing w:line="560" w:lineRule="exact"/>
        <w:ind w:firstLine="720"/>
        <w:rPr>
          <w:rFonts w:eastAsia="方正仿宋简体"/>
          <w:szCs w:val="32"/>
          <w:lang w:val="zh-CN"/>
        </w:rPr>
      </w:pPr>
      <w:r>
        <w:rPr>
          <w:rFonts w:eastAsia="方正仿宋简体"/>
          <w:szCs w:val="32"/>
          <w:lang w:val="zh-CN"/>
        </w:rPr>
        <w:t>活动前期加大预算技术的投入，应充分的调查和了解，确保资金使用的充足性和有效性。实施过程中应定期对专项资金的使用情况进行检查和评估，及时发现和纠正存在的问题。</w:t>
      </w:r>
    </w:p>
    <w:p>
      <w:pPr>
        <w:adjustRightInd w:val="0"/>
        <w:snapToGrid w:val="0"/>
        <w:spacing w:line="560" w:lineRule="exact"/>
        <w:ind w:firstLine="720"/>
        <w:rPr>
          <w:rFonts w:eastAsia="黑体"/>
        </w:rPr>
      </w:pPr>
      <w:r>
        <w:rPr>
          <w:rFonts w:eastAsia="黑体"/>
        </w:rPr>
        <w:t>七、2023年绩效评价中存在的问题整改情况</w:t>
      </w:r>
    </w:p>
    <w:p>
      <w:pPr>
        <w:adjustRightInd w:val="0"/>
        <w:snapToGrid w:val="0"/>
        <w:spacing w:line="560" w:lineRule="exact"/>
        <w:ind w:firstLine="720"/>
        <w:rPr>
          <w:rFonts w:eastAsia="方正仿宋简体"/>
          <w:szCs w:val="32"/>
        </w:rPr>
      </w:pPr>
      <w:r>
        <w:t xml:space="preserve"> </w:t>
      </w:r>
      <w:r>
        <w:rPr>
          <w:rFonts w:eastAsia="方正仿宋简体"/>
          <w:szCs w:val="32"/>
        </w:rPr>
        <w:t>我局负责整改事项已全部按时限完成整改。</w:t>
      </w:r>
    </w:p>
    <w:p>
      <w:pPr>
        <w:adjustRightInd w:val="0"/>
        <w:snapToGrid w:val="0"/>
        <w:spacing w:line="560" w:lineRule="exact"/>
        <w:ind w:firstLine="720"/>
        <w:rPr>
          <w:rFonts w:eastAsia="方正仿宋简体"/>
          <w:szCs w:val="32"/>
          <w:lang w:val="zh-CN"/>
        </w:rPr>
      </w:pPr>
    </w:p>
    <w:p>
      <w:pPr>
        <w:adjustRightInd w:val="0"/>
        <w:snapToGrid w:val="0"/>
        <w:spacing w:line="560" w:lineRule="exact"/>
        <w:ind w:firstLine="720"/>
        <w:rPr>
          <w:rFonts w:eastAsia="方正仿宋简体"/>
          <w:szCs w:val="32"/>
          <w:lang w:val="zh-CN"/>
        </w:rPr>
      </w:pPr>
      <w:r>
        <w:rPr>
          <w:rFonts w:eastAsia="方正仿宋简体"/>
          <w:szCs w:val="32"/>
          <w:lang w:val="zh-CN"/>
        </w:rPr>
        <w:t>附件：2024年市级政府采购项目绩效评价表</w:t>
      </w:r>
    </w:p>
    <w:p>
      <w:pPr>
        <w:adjustRightInd w:val="0"/>
        <w:snapToGrid w:val="0"/>
        <w:spacing w:line="560" w:lineRule="exact"/>
        <w:ind w:firstLine="720"/>
        <w:rPr>
          <w:rFonts w:eastAsia="方正仿宋简体"/>
          <w:szCs w:val="32"/>
          <w:lang w:val="zh-CN"/>
        </w:rPr>
      </w:pPr>
    </w:p>
    <w:p>
      <w:pPr>
        <w:pStyle w:val="2"/>
        <w:ind w:left="632" w:firstLine="632"/>
      </w:pPr>
    </w:p>
    <w:p/>
    <w:p>
      <w:pPr>
        <w:pStyle w:val="2"/>
        <w:ind w:left="632" w:firstLine="632"/>
      </w:pPr>
    </w:p>
    <w:p/>
    <w:p>
      <w:pPr>
        <w:pStyle w:val="2"/>
      </w:pPr>
      <w:bookmarkStart w:id="0" w:name="_GoBack"/>
      <w:bookmarkEnd w:id="0"/>
    </w:p>
    <w:p>
      <w:pPr>
        <w:pStyle w:val="4"/>
        <w:rPr>
          <w:rFonts w:eastAsia="方正仿宋简体"/>
          <w:szCs w:val="32"/>
          <w:lang w:val="zh-CN"/>
        </w:rPr>
      </w:pPr>
    </w:p>
    <w:p>
      <w:pPr>
        <w:pStyle w:val="4"/>
        <w:rPr>
          <w:rFonts w:hint="eastAsia"/>
        </w:rPr>
      </w:pPr>
    </w:p>
    <w:p>
      <w:pPr>
        <w:rPr>
          <w:rFonts w:hint="eastAsia"/>
        </w:rPr>
      </w:pPr>
    </w:p>
    <w:p>
      <w:pPr>
        <w:pStyle w:val="2"/>
        <w:snapToGrid w:val="0"/>
        <w:spacing w:after="0"/>
        <w:ind w:left="640" w:leftChars="0" w:hanging="640" w:hangingChars="200"/>
        <w:rPr>
          <w:rFonts w:hint="eastAsia" w:ascii="黑体" w:hAnsi="黑体" w:eastAsia="黑体"/>
        </w:rPr>
      </w:pPr>
      <w:r>
        <w:rPr>
          <w:rFonts w:hint="eastAsia" w:ascii="黑体" w:hAnsi="黑体" w:eastAsia="黑体"/>
        </w:rPr>
        <w:t>附件</w:t>
      </w:r>
    </w:p>
    <w:p>
      <w:pPr>
        <w:snapToGrid w:val="0"/>
        <w:jc w:val="center"/>
        <w:rPr>
          <w:rFonts w:hint="eastAsia"/>
          <w:sz w:val="40"/>
          <w:szCs w:val="40"/>
        </w:rPr>
      </w:pPr>
      <w:r>
        <w:rPr>
          <w:rFonts w:eastAsia="方正小标宋简体"/>
          <w:color w:val="000000"/>
          <w:kern w:val="0"/>
          <w:sz w:val="40"/>
          <w:szCs w:val="40"/>
        </w:rPr>
        <w:t>2024年市级政府采购项目绩效评价表</w:t>
      </w:r>
    </w:p>
    <w:tbl>
      <w:tblPr>
        <w:tblStyle w:val="5"/>
        <w:tblW w:w="9647" w:type="dxa"/>
        <w:tblInd w:w="-104" w:type="dxa"/>
        <w:tblLayout w:type="fixed"/>
        <w:tblCellMar>
          <w:top w:w="0" w:type="dxa"/>
          <w:left w:w="108" w:type="dxa"/>
          <w:bottom w:w="0" w:type="dxa"/>
          <w:right w:w="108" w:type="dxa"/>
        </w:tblCellMar>
      </w:tblPr>
      <w:tblGrid>
        <w:gridCol w:w="675"/>
        <w:gridCol w:w="645"/>
        <w:gridCol w:w="655"/>
        <w:gridCol w:w="600"/>
        <w:gridCol w:w="2535"/>
        <w:gridCol w:w="3844"/>
        <w:gridCol w:w="693"/>
      </w:tblGrid>
      <w:tr>
        <w:trPr>
          <w:trHeight w:val="591"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一级指标</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二级指标</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三级指标</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分值</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评价内容</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评分标准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评价得分</w:t>
            </w:r>
          </w:p>
        </w:tc>
      </w:tr>
      <w:tr>
        <w:trPr>
          <w:trHeight w:val="461" w:hRule="atLeast"/>
        </w:trPr>
        <w:tc>
          <w:tcPr>
            <w:tcW w:w="8954" w:type="dxa"/>
            <w:gridSpan w:val="6"/>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评价得分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b/>
                <w:bCs/>
                <w:color w:val="000000"/>
                <w:sz w:val="18"/>
                <w:szCs w:val="18"/>
              </w:rPr>
            </w:pPr>
            <w:r>
              <w:rPr>
                <w:rFonts w:eastAsia="方正仿宋简体"/>
                <w:b/>
                <w:bCs/>
                <w:color w:val="000000"/>
                <w:sz w:val="18"/>
                <w:szCs w:val="18"/>
              </w:rPr>
              <w:t>100</w:t>
            </w:r>
          </w:p>
        </w:tc>
      </w:tr>
      <w:tr>
        <w:trPr>
          <w:trHeight w:val="960" w:hRule="atLeast"/>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项目管理（20分）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岗位设置</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评价是否已依规设立政府采购专管员；工作岗位设置是否合理，权责是否清晰。</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1.已设立专管员的得2分；2.工作岗位设置合理、权责清晰的得1分。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rPr>
          <w:trHeight w:val="1339"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内控制度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评价集中采购机构是否建立内部相互配合、相互监督、相互制约的内控制度体系，形式上可以单独制定，也可以概括制定，但相关内容不可缺少。</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是否建立完善的岗位设置和人员执业控制管理制度、分级授权及集体决策控制管理制度、采购流程及重点环节控制管理制度、违法采购活动不组织控制管理制度、采购费用收取及退还控制管理制度，每缺一项，扣1分，扣完为止。</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rPr>
          <w:trHeight w:val="59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采购预算</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评价有无财政预算，采购金额是否超预算。</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1.有采购预算，得2分；2.采购额控制在预算金额内的，得1分。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rPr>
          <w:trHeight w:val="65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财务管理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5</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评价财务核算及时、规范情况。</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财务核算及时、规范的得5分，否则视情况扣分。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5</w:t>
            </w:r>
          </w:p>
        </w:tc>
      </w:tr>
      <w:tr>
        <w:trPr>
          <w:trHeight w:val="605"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资金拨付</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评价资金拨付及时、合规情况。</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资金拨付及时、合规得得3分，否则视情况扣分。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rPr>
          <w:trHeight w:val="168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档案管理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评价是否按照规定完整的、妥善的保存政府采购文件档案。</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1.丢失整个项目档案的，扣3分；档案不完整的视情况扣分；2.未集中归档保管的，扣0.5分；无档案索引目录的，扣0.5分；不及时归档的，扣0.5分。如果一个采购项目在该项上出现多个应当扣分的情形，以扣分最高的一项来计分，即仅扣一次分。如果一个项目在档案管理上出现了应当扣分的情形，应当同时按照项目数量累计扣分。该项分数扣完为止。</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rPr>
          <w:trHeight w:val="480" w:hRule="atLeast"/>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采购管理（30分）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委托代理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5</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评价代理机构选择是否建立决策机制和代理协议签订是否合法合规</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1.代理机构选择是否科学合理的，得3分；2.代理协议签订合法合规的，得2分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5</w:t>
            </w:r>
          </w:p>
        </w:tc>
      </w:tr>
      <w:tr>
        <w:trPr>
          <w:trHeight w:val="1549"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政策执行</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5</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评价政府采购活动是否落实节约能源、保护环境、促进中小企业（包括监狱企业、残疾人福利性单位）发展，以及按照规定采购本国货物、工程和服务等政策。</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根据采购项目实际情况，采购文件应当执行而未执行节能环保政策的，扣1分；依法应当对小微企业给予价格扣除而未给予的，扣1分；擅自采购进口产品的，扣1分。如果一个采购项目在该项上出现了多个问题，按照问题数量和项目数量同时累计扣分。该项分数扣完为止。</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5</w:t>
            </w:r>
          </w:p>
        </w:tc>
      </w:tr>
      <w:tr>
        <w:trPr>
          <w:trHeight w:val="1536"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采购文件编制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4</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评价采购文件内容是否完整，是否存在差别待遇或者歧视待遇，是否存在歧义、重大缺陷，评审方法和标准是否合法等</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采购文件内容组成不完整的，扣1分；存在差别待遇、歧视待遇、歧义或者重大缺陷的，扣1分；评审方法和标准不合法的，扣1分。如果一个采购项目在该项上出现了多个问题，按照问题数量和项目数量同时累计扣分。该项分数扣完为止。</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4</w:t>
            </w:r>
          </w:p>
        </w:tc>
      </w:tr>
      <w:tr>
        <w:trPr>
          <w:trHeight w:val="151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采购方式和采购程序</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8</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采购方式选择、采购方式变更、采购文件编制发售、评审专家抽取、评审委员会组成、现场评审、复核、信息发布、将评审报告送采购人确定中标成交供应商、发送中标成交通知书、收取退还保证金、履约验收等采购程序等。</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1.未按照规定执行采购方式和采购程序的，出现一个问题，扣1分。如果一个采购项目在该项上出现了多个问题，按照问题数量和项目数量同时累计扣分。该项分数扣完为止。</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8</w:t>
            </w:r>
          </w:p>
        </w:tc>
      </w:tr>
      <w:tr>
        <w:trPr>
          <w:trHeight w:val="242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合同管理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评价合同是否按时签订、公告和备案，履约验收是否合法合规等。</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1.自中标通知书发出30日内，按照招标文件和中标人投标文件规定，与中标人签订书面合同的，得0.5分；2.应当自政府采购合同签订之日起2个工作日内和7个工作日内，将政府采购合同在省级以上人民政府财政部门指定的媒体上公告和备案的，得0.5分；3.组织对供应商履约验收，出具验收书，得0.5分；4.采购人委托采购代理机构进行履约验收的，应当对验收结果进行书面确认的，得0.5分；5.采购人和使用人分离的采购项目，应当邀请实际使用人参与验收的，得0.5分；6.政府向社会公众提供的公共服务项目，验收时应邀请服务对象参与并出具意见，验收结果应向社会公告的，得0.5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rPr>
          <w:trHeight w:val="1505"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询问、质疑答复</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评价是否依法受理供应商询问、质疑，是否及时作出相关回复，是否有效送达等。</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1.未建立台账的，扣1分；2.未按时作出相关答复（询问质疑答复、投诉说明、举报说明等）的，每起案件扣1分；3.投诉、举报事项经财政部门、复议机关、审判机关审理，属于集中采购机构责任的，每起案件扣1分。如果多个采购项目在该项上出现了多个应当扣分的情形，按照问题数量和项目数量同时累计扣分。该项分数扣完为止。</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rPr>
          <w:trHeight w:val="72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协助配合</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评价在日常工作中是否积极主动配合采购人履约验收，配合监管部门处理投诉、信访、举报及其他日常监管工作等。</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不予配合或者消极配合的，视情况扣分。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rPr>
          <w:trHeight w:val="960" w:hRule="atLeast"/>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目标完</w:t>
            </w:r>
            <w:r>
              <w:rPr>
                <w:rFonts w:eastAsia="方正仿宋简体"/>
                <w:color w:val="000000"/>
                <w:kern w:val="0"/>
                <w:sz w:val="18"/>
                <w:szCs w:val="18"/>
              </w:rPr>
              <w:br w:type="textWrapping"/>
            </w:r>
            <w:r>
              <w:rPr>
                <w:rFonts w:eastAsia="方正仿宋简体"/>
                <w:color w:val="000000"/>
                <w:kern w:val="0"/>
                <w:sz w:val="18"/>
                <w:szCs w:val="18"/>
              </w:rPr>
              <w:t>成（20分）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数量完成</w:t>
            </w:r>
            <w:r>
              <w:rPr>
                <w:rFonts w:eastAsia="方正仿宋简体"/>
                <w:color w:val="000000"/>
                <w:kern w:val="0"/>
                <w:sz w:val="18"/>
                <w:szCs w:val="18"/>
              </w:rPr>
              <w:br w:type="textWrapping"/>
            </w:r>
            <w:r>
              <w:rPr>
                <w:rFonts w:eastAsia="方正仿宋简体"/>
                <w:color w:val="000000"/>
                <w:kern w:val="0"/>
                <w:sz w:val="18"/>
                <w:szCs w:val="18"/>
              </w:rPr>
              <w:t>程度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5</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6"/>
                <w:szCs w:val="18"/>
              </w:rPr>
              <w:t>产出数量完成率（用T表示），即项目实施的实际产出数量与计划产出数量的比率，反映项目产出数量目标的实现程度(5分)</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T≥100%(5分)；90%≤T＜100%(3分）</w:t>
            </w:r>
            <w:r>
              <w:rPr>
                <w:rFonts w:eastAsia="方正仿宋简体"/>
                <w:b/>
                <w:bCs/>
                <w:color w:val="000000"/>
                <w:kern w:val="0"/>
                <w:sz w:val="18"/>
                <w:szCs w:val="18"/>
              </w:rPr>
              <w:t>；</w:t>
            </w:r>
            <w:r>
              <w:rPr>
                <w:rFonts w:eastAsia="方正仿宋简体"/>
                <w:color w:val="000000"/>
                <w:kern w:val="0"/>
                <w:sz w:val="18"/>
                <w:szCs w:val="18"/>
              </w:rPr>
              <w:t>80%≤T＜90%(2分）</w:t>
            </w:r>
            <w:r>
              <w:rPr>
                <w:rFonts w:eastAsia="方正仿宋简体"/>
                <w:color w:val="000000"/>
                <w:kern w:val="0"/>
                <w:sz w:val="18"/>
                <w:szCs w:val="18"/>
              </w:rPr>
              <w:br w:type="textWrapping"/>
            </w:r>
            <w:r>
              <w:rPr>
                <w:rFonts w:eastAsia="方正仿宋简体"/>
                <w:color w:val="000000"/>
                <w:kern w:val="0"/>
                <w:sz w:val="18"/>
                <w:szCs w:val="18"/>
              </w:rPr>
              <w:t>；T＜80%(0分）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5</w:t>
            </w:r>
          </w:p>
        </w:tc>
      </w:tr>
      <w:tr>
        <w:trPr>
          <w:trHeight w:val="96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质量完成</w:t>
            </w:r>
            <w:r>
              <w:rPr>
                <w:rFonts w:eastAsia="方正仿宋简体"/>
                <w:color w:val="000000"/>
                <w:kern w:val="0"/>
                <w:sz w:val="18"/>
                <w:szCs w:val="18"/>
              </w:rPr>
              <w:br w:type="textWrapping"/>
            </w:r>
            <w:r>
              <w:rPr>
                <w:rFonts w:eastAsia="方正仿宋简体"/>
                <w:color w:val="000000"/>
                <w:kern w:val="0"/>
                <w:sz w:val="18"/>
                <w:szCs w:val="18"/>
              </w:rPr>
              <w:t>程度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5</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6"/>
                <w:szCs w:val="18"/>
              </w:rPr>
              <w:t>质量达标率（用S表示），即项目完成的质量达标产出数与实际产出数的比率，反映项目产出质量目标的实现程度(5分)</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S≥95%(5分)；90%≤S＜95%(3分）；80%≤S＜90%(2分）</w:t>
            </w:r>
            <w:r>
              <w:rPr>
                <w:rFonts w:eastAsia="方正仿宋简体"/>
                <w:color w:val="000000"/>
                <w:kern w:val="0"/>
                <w:sz w:val="18"/>
                <w:szCs w:val="18"/>
              </w:rPr>
              <w:br w:type="textWrapping"/>
            </w:r>
            <w:r>
              <w:rPr>
                <w:rFonts w:eastAsia="方正仿宋简体"/>
                <w:color w:val="000000"/>
                <w:kern w:val="0"/>
                <w:sz w:val="18"/>
                <w:szCs w:val="18"/>
              </w:rPr>
              <w:t>；S＜80%(0分）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5</w:t>
            </w:r>
          </w:p>
        </w:tc>
      </w:tr>
      <w:tr>
        <w:trPr>
          <w:trHeight w:val="72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时效完成</w:t>
            </w:r>
            <w:r>
              <w:rPr>
                <w:rFonts w:eastAsia="方正仿宋简体"/>
                <w:color w:val="000000"/>
                <w:kern w:val="0"/>
                <w:sz w:val="18"/>
                <w:szCs w:val="18"/>
              </w:rPr>
              <w:br w:type="textWrapping"/>
            </w:r>
            <w:r>
              <w:rPr>
                <w:rFonts w:eastAsia="方正仿宋简体"/>
                <w:color w:val="000000"/>
                <w:kern w:val="0"/>
                <w:sz w:val="18"/>
                <w:szCs w:val="18"/>
              </w:rPr>
              <w:t>程度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5</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6"/>
                <w:szCs w:val="18"/>
              </w:rPr>
              <w:t>完成及时率(用H表示），即项目实际提前完成时间与计划完成时间的比率，反映项目产出时效目标的实现程度(5分)</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H≥0（5分）；H＜0(0分）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5</w:t>
            </w:r>
          </w:p>
        </w:tc>
      </w:tr>
      <w:tr>
        <w:trPr>
          <w:trHeight w:val="96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投资控制</w:t>
            </w:r>
            <w:r>
              <w:rPr>
                <w:rFonts w:eastAsia="方正仿宋简体"/>
                <w:color w:val="000000"/>
                <w:kern w:val="0"/>
                <w:sz w:val="18"/>
                <w:szCs w:val="18"/>
              </w:rPr>
              <w:br w:type="textWrapping"/>
            </w:r>
            <w:r>
              <w:rPr>
                <w:rFonts w:eastAsia="方正仿宋简体"/>
                <w:color w:val="000000"/>
                <w:kern w:val="0"/>
                <w:sz w:val="18"/>
                <w:szCs w:val="18"/>
              </w:rPr>
              <w:t>程度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5</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6"/>
                <w:szCs w:val="18"/>
              </w:rPr>
              <w:t>投资节约额（用N表示），即完成项目预定目标的实际投资节约额与预定投资额的比率；反映项目投资控制的效果(5分)</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N≥0（5分）；-10%≤N＜0(3分）；N＜-10%(0分）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5</w:t>
            </w:r>
          </w:p>
        </w:tc>
      </w:tr>
      <w:tr>
        <w:trPr>
          <w:trHeight w:val="480" w:hRule="atLeast"/>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项目效</w:t>
            </w:r>
            <w:r>
              <w:rPr>
                <w:rFonts w:eastAsia="方正仿宋简体"/>
                <w:color w:val="000000"/>
                <w:kern w:val="0"/>
                <w:sz w:val="18"/>
                <w:szCs w:val="18"/>
              </w:rPr>
              <w:br w:type="textWrapping"/>
            </w:r>
            <w:r>
              <w:rPr>
                <w:rFonts w:eastAsia="方正仿宋简体"/>
                <w:color w:val="000000"/>
                <w:kern w:val="0"/>
                <w:sz w:val="18"/>
                <w:szCs w:val="18"/>
              </w:rPr>
              <w:t>果（30分）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经济效益</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6</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项目实施对经济发展所带来的直接或间接影响(6分)</w:t>
            </w:r>
          </w:p>
        </w:tc>
        <w:tc>
          <w:tcPr>
            <w:tcW w:w="384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根据各项目具体特点不同相应设定相应的个性化评价指标和评价标准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6</w:t>
            </w:r>
          </w:p>
        </w:tc>
      </w:tr>
      <w:tr>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社会效益</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6</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项目实施对社会发展所带来的直接或间接影响(6分)</w:t>
            </w:r>
          </w:p>
        </w:tc>
        <w:tc>
          <w:tcPr>
            <w:tcW w:w="3844"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6</w:t>
            </w:r>
          </w:p>
        </w:tc>
      </w:tr>
      <w:tr>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生态效益</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6</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项目实施对生态环境所带来的直接或间接影响(6分)</w:t>
            </w:r>
          </w:p>
        </w:tc>
        <w:tc>
          <w:tcPr>
            <w:tcW w:w="3844"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6</w:t>
            </w:r>
          </w:p>
        </w:tc>
      </w:tr>
      <w:tr>
        <w:trPr>
          <w:trHeight w:val="53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可持续影响</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6</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项目后续运行及成效发挥的可持续影响(6分)</w:t>
            </w:r>
          </w:p>
        </w:tc>
        <w:tc>
          <w:tcPr>
            <w:tcW w:w="3844"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6</w:t>
            </w:r>
          </w:p>
        </w:tc>
      </w:tr>
      <w:tr>
        <w:trPr>
          <w:trHeight w:val="72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社会满意程度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6</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社会满意程度（用R表示），即社会公众或服务对象对项目实施效果的满意程度(6分)</w:t>
            </w:r>
          </w:p>
        </w:tc>
        <w:tc>
          <w:tcPr>
            <w:tcW w:w="38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R≥90%（6分）；80%≤R＜90%(4分）；70%≤R＜80%(2分）</w:t>
            </w:r>
            <w:r>
              <w:rPr>
                <w:rFonts w:eastAsia="方正仿宋简体"/>
                <w:color w:val="000000"/>
                <w:kern w:val="0"/>
                <w:sz w:val="18"/>
                <w:szCs w:val="18"/>
              </w:rPr>
              <w:br w:type="textWrapping"/>
            </w:r>
            <w:r>
              <w:rPr>
                <w:rFonts w:eastAsia="方正仿宋简体"/>
                <w:color w:val="000000"/>
                <w:kern w:val="0"/>
                <w:sz w:val="18"/>
                <w:szCs w:val="18"/>
              </w:rPr>
              <w:t>；R＜70%(0分）</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6</w:t>
            </w:r>
          </w:p>
        </w:tc>
      </w:tr>
    </w:tbl>
    <w:p/>
    <w:p>
      <w:pPr>
        <w:spacing w:line="560" w:lineRule="exact"/>
        <w:rPr>
          <w:rFonts w:hint="eastAsia" w:eastAsia="方正黑体简体"/>
          <w:color w:val="000000"/>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泉驿微米黑">
    <w:altName w:val="黑体"/>
    <w:panose1 w:val="020B0606030804020204"/>
    <w:charset w:val="00"/>
    <w:family w:val="auto"/>
    <w:pitch w:val="default"/>
    <w:sig w:usb0="00000000" w:usb1="00000000" w:usb2="00800036" w:usb3="00000000" w:csb0="603E019F" w:csb1="DFD7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E7904"/>
    <w:rsid w:val="7FBE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uiPriority w:val="0"/>
    <w:pPr>
      <w:spacing w:after="120"/>
      <w:ind w:left="200" w:leftChars="200"/>
    </w:pPr>
  </w:style>
  <w:style w:type="paragraph" w:styleId="4">
    <w:name w:val="toc 1"/>
    <w:basedOn w:val="1"/>
    <w:next w:val="1"/>
    <w:qFormat/>
    <w:uiPriority w:val="0"/>
    <w:rPr>
      <w:szCs w:val="22"/>
    </w:rPr>
  </w:style>
  <w:style w:type="paragraph" w:customStyle="1" w:styleId="7">
    <w:name w:val="四号正文"/>
    <w:basedOn w:val="1"/>
    <w:qFormat/>
    <w:uiPriority w:val="0"/>
    <w:pPr>
      <w:spacing w:line="360" w:lineRule="auto"/>
    </w:pPr>
    <w:rPr>
      <w:rFonts w:ascii="??" w:hAnsi="??" w:cs="宋体"/>
      <w:color w:val="000000"/>
      <w:kern w:val="0"/>
      <w:sz w:val="28"/>
      <w:szCs w:val="21"/>
      <w:lang w:bidi="ar-SA"/>
    </w:rPr>
  </w:style>
  <w:style w:type="paragraph" w:customStyle="1" w:styleId="8">
    <w:name w:val="p0"/>
    <w:basedOn w:val="1"/>
    <w:qFormat/>
    <w:uiPriority w:val="0"/>
    <w:pPr>
      <w:widowControl/>
    </w:pPr>
    <w:rPr>
      <w:rFonts w:ascii="Times New Roman" w:hAnsi="Times New Roman" w:cs="Times New Roman"/>
      <w:kern w:val="0"/>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2024-06-28T17:46:00Z</dcterms:created>
  <dc:creator>user</dc:creator>
  <cp:lastModifiedBy>user</cp:lastModifiedBy>
  <dcterms:modified xsi:type="dcterms:W3CDTF">2024-06-28T17:47:02Z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F75686037EDFDE9789867E66D7D54F1C</vt:lpwstr>
  </property>
</Properties>
</file>